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7460" w:rsidRPr="00287460" w:rsidRDefault="00287460" w:rsidP="00287460">
      <w:pPr>
        <w:jc w:val="center"/>
        <w:rPr>
          <w:b/>
        </w:rPr>
      </w:pPr>
      <w:r w:rsidRPr="00287460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3466B144" wp14:editId="62AB560B">
            <wp:simplePos x="0" y="0"/>
            <wp:positionH relativeFrom="margin">
              <wp:posOffset>8486775</wp:posOffset>
            </wp:positionH>
            <wp:positionV relativeFrom="paragraph">
              <wp:posOffset>-47625</wp:posOffset>
            </wp:positionV>
            <wp:extent cx="696861" cy="771525"/>
            <wp:effectExtent l="0" t="0" r="8255" b="0"/>
            <wp:wrapNone/>
            <wp:docPr id="1" name="Picture 1" descr="S: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861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7460">
        <w:rPr>
          <w:b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C951C4" wp14:editId="2D527ABC">
            <wp:simplePos x="0" y="0"/>
            <wp:positionH relativeFrom="column">
              <wp:posOffset>104775</wp:posOffset>
            </wp:positionH>
            <wp:positionV relativeFrom="paragraph">
              <wp:posOffset>0</wp:posOffset>
            </wp:positionV>
            <wp:extent cx="694690" cy="774065"/>
            <wp:effectExtent l="0" t="0" r="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690" cy="774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6C96" w:rsidRPr="00287460">
        <w:rPr>
          <w:b/>
        </w:rPr>
        <w:t xml:space="preserve">Montpelier Primary School Key Stage 2 Results </w:t>
      </w:r>
      <w:r w:rsidRPr="00287460">
        <w:rPr>
          <w:b/>
        </w:rPr>
        <w:t xml:space="preserve"> </w:t>
      </w:r>
    </w:p>
    <w:p w:rsidR="00F80B16" w:rsidRPr="00287460" w:rsidRDefault="00287460" w:rsidP="00287460">
      <w:pPr>
        <w:jc w:val="center"/>
        <w:rPr>
          <w:b/>
        </w:rPr>
      </w:pPr>
      <w:r w:rsidRPr="00287460">
        <w:rPr>
          <w:b/>
        </w:rPr>
        <w:t>2015-16</w:t>
      </w:r>
    </w:p>
    <w:p w:rsidR="00836C96" w:rsidRDefault="00836C96"/>
    <w:p w:rsidR="00836C96" w:rsidRDefault="00836C96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23"/>
        <w:gridCol w:w="1481"/>
        <w:gridCol w:w="1416"/>
        <w:gridCol w:w="1493"/>
        <w:gridCol w:w="1337"/>
        <w:gridCol w:w="1334"/>
        <w:gridCol w:w="1417"/>
        <w:gridCol w:w="1431"/>
        <w:gridCol w:w="1404"/>
      </w:tblGrid>
      <w:tr w:rsidR="00897935" w:rsidTr="00287460">
        <w:trPr>
          <w:jc w:val="center"/>
        </w:trPr>
        <w:tc>
          <w:tcPr>
            <w:tcW w:w="1723" w:type="dxa"/>
          </w:tcPr>
          <w:p w:rsidR="00897935" w:rsidRPr="00287460" w:rsidRDefault="00897935" w:rsidP="00287460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481" w:type="dxa"/>
          </w:tcPr>
          <w:p w:rsidR="00897935" w:rsidRPr="00287460" w:rsidRDefault="00897935" w:rsidP="00287460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% of pupils achieving the expected standard</w:t>
            </w:r>
          </w:p>
          <w:p w:rsidR="00897935" w:rsidRPr="00287460" w:rsidRDefault="00897935" w:rsidP="00287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6" w:type="dxa"/>
          </w:tcPr>
          <w:p w:rsidR="00897935" w:rsidRPr="00287460" w:rsidRDefault="00897935" w:rsidP="00287460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National Average</w:t>
            </w:r>
          </w:p>
        </w:tc>
        <w:tc>
          <w:tcPr>
            <w:tcW w:w="1493" w:type="dxa"/>
          </w:tcPr>
          <w:p w:rsidR="00897935" w:rsidRPr="00287460" w:rsidRDefault="00897935" w:rsidP="00287460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Comparison to National Averages</w:t>
            </w:r>
          </w:p>
        </w:tc>
        <w:tc>
          <w:tcPr>
            <w:tcW w:w="1337" w:type="dxa"/>
          </w:tcPr>
          <w:p w:rsidR="00897935" w:rsidRPr="00287460" w:rsidRDefault="00897935" w:rsidP="00287460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% of pupils achieving a high level of attainment</w:t>
            </w:r>
          </w:p>
        </w:tc>
        <w:tc>
          <w:tcPr>
            <w:tcW w:w="1334" w:type="dxa"/>
          </w:tcPr>
          <w:p w:rsidR="00897935" w:rsidRPr="00287460" w:rsidRDefault="00897935" w:rsidP="00287460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Average Scaled score</w:t>
            </w:r>
          </w:p>
          <w:p w:rsidR="00897935" w:rsidRPr="00287460" w:rsidRDefault="00897935" w:rsidP="00287460">
            <w:pPr>
              <w:jc w:val="center"/>
              <w:rPr>
                <w:b/>
                <w:sz w:val="18"/>
                <w:szCs w:val="18"/>
              </w:rPr>
            </w:pPr>
          </w:p>
          <w:p w:rsidR="00287460" w:rsidRPr="00287460" w:rsidRDefault="00287460" w:rsidP="00287460">
            <w:pPr>
              <w:jc w:val="center"/>
              <w:rPr>
                <w:b/>
                <w:sz w:val="18"/>
                <w:szCs w:val="18"/>
              </w:rPr>
            </w:pPr>
          </w:p>
          <w:p w:rsidR="00897935" w:rsidRPr="00287460" w:rsidRDefault="00897935" w:rsidP="0028746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897935" w:rsidRPr="00287460" w:rsidRDefault="00897935" w:rsidP="00287460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National Average Scaled Score</w:t>
            </w:r>
          </w:p>
        </w:tc>
        <w:tc>
          <w:tcPr>
            <w:tcW w:w="1431" w:type="dxa"/>
          </w:tcPr>
          <w:p w:rsidR="00897935" w:rsidRPr="00287460" w:rsidRDefault="00287460" w:rsidP="00287460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Comparison to National Avera</w:t>
            </w:r>
            <w:bookmarkStart w:id="0" w:name="_GoBack"/>
            <w:bookmarkEnd w:id="0"/>
            <w:r w:rsidRPr="00287460">
              <w:rPr>
                <w:b/>
                <w:sz w:val="18"/>
                <w:szCs w:val="18"/>
              </w:rPr>
              <w:t>ges</w:t>
            </w:r>
          </w:p>
        </w:tc>
        <w:tc>
          <w:tcPr>
            <w:tcW w:w="1404" w:type="dxa"/>
          </w:tcPr>
          <w:p w:rsidR="00287460" w:rsidRPr="00287460" w:rsidRDefault="00897935" w:rsidP="00287460">
            <w:pPr>
              <w:jc w:val="center"/>
              <w:rPr>
                <w:b/>
                <w:sz w:val="18"/>
                <w:szCs w:val="18"/>
              </w:rPr>
            </w:pPr>
            <w:r w:rsidRPr="00287460">
              <w:rPr>
                <w:b/>
                <w:sz w:val="18"/>
                <w:szCs w:val="18"/>
              </w:rPr>
              <w:t>Average progress</w:t>
            </w:r>
          </w:p>
          <w:p w:rsidR="00287460" w:rsidRPr="00287460" w:rsidRDefault="00287460" w:rsidP="00287460">
            <w:pPr>
              <w:jc w:val="center"/>
              <w:rPr>
                <w:b/>
                <w:sz w:val="18"/>
                <w:szCs w:val="18"/>
              </w:rPr>
            </w:pPr>
          </w:p>
          <w:p w:rsidR="00287460" w:rsidRPr="00287460" w:rsidRDefault="00287460" w:rsidP="00287460">
            <w:pPr>
              <w:jc w:val="center"/>
              <w:rPr>
                <w:b/>
                <w:sz w:val="18"/>
                <w:szCs w:val="18"/>
              </w:rPr>
            </w:pPr>
          </w:p>
          <w:p w:rsidR="00897935" w:rsidRPr="00287460" w:rsidRDefault="00897935" w:rsidP="0028746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897935" w:rsidTr="00287460">
        <w:trPr>
          <w:trHeight w:val="401"/>
          <w:jc w:val="center"/>
        </w:trPr>
        <w:tc>
          <w:tcPr>
            <w:tcW w:w="1723" w:type="dxa"/>
            <w:shd w:val="clear" w:color="auto" w:fill="00B050"/>
          </w:tcPr>
          <w:p w:rsidR="00897935" w:rsidRDefault="00897935" w:rsidP="00287460">
            <w:pPr>
              <w:jc w:val="center"/>
            </w:pPr>
            <w:r>
              <w:t>Reading Test</w:t>
            </w:r>
          </w:p>
          <w:p w:rsidR="00287460" w:rsidRDefault="00287460" w:rsidP="00287460">
            <w:pPr>
              <w:jc w:val="center"/>
            </w:pPr>
          </w:p>
        </w:tc>
        <w:tc>
          <w:tcPr>
            <w:tcW w:w="1481" w:type="dxa"/>
            <w:shd w:val="clear" w:color="auto" w:fill="00B050"/>
          </w:tcPr>
          <w:p w:rsidR="00897935" w:rsidRDefault="00897935" w:rsidP="00287460">
            <w:pPr>
              <w:jc w:val="center"/>
            </w:pPr>
            <w:r>
              <w:t>56%</w:t>
            </w:r>
          </w:p>
        </w:tc>
        <w:tc>
          <w:tcPr>
            <w:tcW w:w="1416" w:type="dxa"/>
            <w:shd w:val="clear" w:color="auto" w:fill="00B050"/>
          </w:tcPr>
          <w:p w:rsidR="00897935" w:rsidRDefault="00897935" w:rsidP="00287460">
            <w:pPr>
              <w:jc w:val="center"/>
            </w:pPr>
            <w:r>
              <w:t>66%</w:t>
            </w:r>
          </w:p>
        </w:tc>
        <w:tc>
          <w:tcPr>
            <w:tcW w:w="1493" w:type="dxa"/>
            <w:shd w:val="clear" w:color="auto" w:fill="00B050"/>
          </w:tcPr>
          <w:p w:rsidR="00897935" w:rsidRDefault="00897935" w:rsidP="00287460">
            <w:pPr>
              <w:jc w:val="center"/>
            </w:pPr>
            <w:r>
              <w:t>-10%</w:t>
            </w:r>
          </w:p>
        </w:tc>
        <w:tc>
          <w:tcPr>
            <w:tcW w:w="1337" w:type="dxa"/>
            <w:shd w:val="clear" w:color="auto" w:fill="00B050"/>
          </w:tcPr>
          <w:p w:rsidR="00897935" w:rsidRDefault="00897935" w:rsidP="00287460">
            <w:pPr>
              <w:jc w:val="center"/>
            </w:pPr>
            <w:r>
              <w:t>13%</w:t>
            </w:r>
          </w:p>
        </w:tc>
        <w:tc>
          <w:tcPr>
            <w:tcW w:w="1334" w:type="dxa"/>
            <w:shd w:val="clear" w:color="auto" w:fill="00B050"/>
          </w:tcPr>
          <w:p w:rsidR="00897935" w:rsidRDefault="00897935" w:rsidP="00287460">
            <w:pPr>
              <w:jc w:val="center"/>
            </w:pPr>
            <w:r>
              <w:t>101</w:t>
            </w:r>
          </w:p>
        </w:tc>
        <w:tc>
          <w:tcPr>
            <w:tcW w:w="1417" w:type="dxa"/>
            <w:shd w:val="clear" w:color="auto" w:fill="00B050"/>
          </w:tcPr>
          <w:p w:rsidR="00897935" w:rsidRDefault="00897935" w:rsidP="00287460">
            <w:pPr>
              <w:jc w:val="center"/>
            </w:pPr>
            <w:r>
              <w:t>103</w:t>
            </w:r>
          </w:p>
        </w:tc>
        <w:tc>
          <w:tcPr>
            <w:tcW w:w="1431" w:type="dxa"/>
            <w:shd w:val="clear" w:color="auto" w:fill="00B050"/>
          </w:tcPr>
          <w:p w:rsidR="00897935" w:rsidRDefault="00897935" w:rsidP="00287460">
            <w:pPr>
              <w:jc w:val="center"/>
            </w:pPr>
            <w:r>
              <w:t>-2</w:t>
            </w:r>
          </w:p>
        </w:tc>
        <w:tc>
          <w:tcPr>
            <w:tcW w:w="1404" w:type="dxa"/>
            <w:shd w:val="clear" w:color="auto" w:fill="00B050"/>
          </w:tcPr>
          <w:p w:rsidR="00897935" w:rsidRDefault="00897935" w:rsidP="00287460">
            <w:pPr>
              <w:jc w:val="center"/>
            </w:pPr>
            <w:r>
              <w:t>-3.8</w:t>
            </w:r>
          </w:p>
        </w:tc>
      </w:tr>
      <w:tr w:rsidR="00897935" w:rsidTr="00287460">
        <w:trPr>
          <w:jc w:val="center"/>
        </w:trPr>
        <w:tc>
          <w:tcPr>
            <w:tcW w:w="1723" w:type="dxa"/>
            <w:shd w:val="clear" w:color="auto" w:fill="F4B083" w:themeFill="accent2" w:themeFillTint="99"/>
          </w:tcPr>
          <w:p w:rsidR="00897935" w:rsidRDefault="00897935" w:rsidP="00287460">
            <w:pPr>
              <w:jc w:val="center"/>
            </w:pPr>
            <w:r>
              <w:t>Grammar and Spelling  Test</w:t>
            </w:r>
          </w:p>
        </w:tc>
        <w:tc>
          <w:tcPr>
            <w:tcW w:w="1481" w:type="dxa"/>
            <w:shd w:val="clear" w:color="auto" w:fill="F4B083" w:themeFill="accent2" w:themeFillTint="99"/>
          </w:tcPr>
          <w:p w:rsidR="00897935" w:rsidRDefault="00897935" w:rsidP="00287460">
            <w:pPr>
              <w:jc w:val="center"/>
            </w:pPr>
            <w:r>
              <w:t>70%</w:t>
            </w:r>
          </w:p>
        </w:tc>
        <w:tc>
          <w:tcPr>
            <w:tcW w:w="1416" w:type="dxa"/>
            <w:shd w:val="clear" w:color="auto" w:fill="F4B083" w:themeFill="accent2" w:themeFillTint="99"/>
          </w:tcPr>
          <w:p w:rsidR="00897935" w:rsidRDefault="00897935" w:rsidP="00287460">
            <w:pPr>
              <w:jc w:val="center"/>
            </w:pPr>
            <w:r>
              <w:t>72%</w:t>
            </w:r>
          </w:p>
        </w:tc>
        <w:tc>
          <w:tcPr>
            <w:tcW w:w="1493" w:type="dxa"/>
            <w:shd w:val="clear" w:color="auto" w:fill="F4B083" w:themeFill="accent2" w:themeFillTint="99"/>
          </w:tcPr>
          <w:p w:rsidR="00897935" w:rsidRDefault="00897935" w:rsidP="00287460">
            <w:pPr>
              <w:jc w:val="center"/>
            </w:pPr>
            <w:r>
              <w:t>-2%</w:t>
            </w:r>
          </w:p>
        </w:tc>
        <w:tc>
          <w:tcPr>
            <w:tcW w:w="1337" w:type="dxa"/>
            <w:shd w:val="clear" w:color="auto" w:fill="F4B083" w:themeFill="accent2" w:themeFillTint="99"/>
          </w:tcPr>
          <w:p w:rsidR="00897935" w:rsidRDefault="00897935" w:rsidP="00287460">
            <w:pPr>
              <w:jc w:val="center"/>
            </w:pPr>
            <w:r>
              <w:t>19%</w:t>
            </w:r>
          </w:p>
        </w:tc>
        <w:tc>
          <w:tcPr>
            <w:tcW w:w="1334" w:type="dxa"/>
            <w:shd w:val="clear" w:color="auto" w:fill="F4B083" w:themeFill="accent2" w:themeFillTint="99"/>
          </w:tcPr>
          <w:p w:rsidR="00897935" w:rsidRDefault="00897935" w:rsidP="00287460">
            <w:pPr>
              <w:jc w:val="center"/>
            </w:pPr>
            <w:r>
              <w:t>103</w:t>
            </w:r>
          </w:p>
        </w:tc>
        <w:tc>
          <w:tcPr>
            <w:tcW w:w="1417" w:type="dxa"/>
            <w:shd w:val="clear" w:color="auto" w:fill="F4B083" w:themeFill="accent2" w:themeFillTint="99"/>
          </w:tcPr>
          <w:p w:rsidR="00897935" w:rsidRDefault="00897935" w:rsidP="00287460">
            <w:pPr>
              <w:jc w:val="center"/>
            </w:pPr>
            <w:r>
              <w:t>104</w:t>
            </w:r>
          </w:p>
        </w:tc>
        <w:tc>
          <w:tcPr>
            <w:tcW w:w="1431" w:type="dxa"/>
            <w:shd w:val="clear" w:color="auto" w:fill="F4B083" w:themeFill="accent2" w:themeFillTint="99"/>
          </w:tcPr>
          <w:p w:rsidR="00897935" w:rsidRDefault="00897935" w:rsidP="00287460">
            <w:pPr>
              <w:jc w:val="center"/>
            </w:pPr>
            <w:r>
              <w:t>-1</w:t>
            </w:r>
          </w:p>
        </w:tc>
        <w:tc>
          <w:tcPr>
            <w:tcW w:w="1404" w:type="dxa"/>
            <w:shd w:val="clear" w:color="auto" w:fill="F4B083" w:themeFill="accent2" w:themeFillTint="99"/>
          </w:tcPr>
          <w:p w:rsidR="00897935" w:rsidRDefault="00287460" w:rsidP="00287460">
            <w:pPr>
              <w:jc w:val="center"/>
            </w:pPr>
            <w:r>
              <w:t>-</w:t>
            </w:r>
          </w:p>
        </w:tc>
      </w:tr>
      <w:tr w:rsidR="00897935" w:rsidTr="00287460">
        <w:trPr>
          <w:jc w:val="center"/>
        </w:trPr>
        <w:tc>
          <w:tcPr>
            <w:tcW w:w="1723" w:type="dxa"/>
            <w:shd w:val="clear" w:color="auto" w:fill="2E74B5" w:themeFill="accent1" w:themeFillShade="BF"/>
          </w:tcPr>
          <w:p w:rsidR="00897935" w:rsidRDefault="00897935" w:rsidP="00287460">
            <w:pPr>
              <w:jc w:val="center"/>
            </w:pPr>
            <w:r>
              <w:t>Mathematics Test</w:t>
            </w:r>
          </w:p>
        </w:tc>
        <w:tc>
          <w:tcPr>
            <w:tcW w:w="1481" w:type="dxa"/>
            <w:shd w:val="clear" w:color="auto" w:fill="2E74B5" w:themeFill="accent1" w:themeFillShade="BF"/>
          </w:tcPr>
          <w:p w:rsidR="00897935" w:rsidRDefault="00897935" w:rsidP="00287460">
            <w:pPr>
              <w:jc w:val="center"/>
            </w:pPr>
            <w:r>
              <w:t>51%</w:t>
            </w:r>
          </w:p>
        </w:tc>
        <w:tc>
          <w:tcPr>
            <w:tcW w:w="1416" w:type="dxa"/>
            <w:shd w:val="clear" w:color="auto" w:fill="2E74B5" w:themeFill="accent1" w:themeFillShade="BF"/>
          </w:tcPr>
          <w:p w:rsidR="00897935" w:rsidRDefault="00897935" w:rsidP="00287460">
            <w:pPr>
              <w:jc w:val="center"/>
            </w:pPr>
            <w:r>
              <w:t>70%</w:t>
            </w:r>
          </w:p>
        </w:tc>
        <w:tc>
          <w:tcPr>
            <w:tcW w:w="1493" w:type="dxa"/>
            <w:shd w:val="clear" w:color="auto" w:fill="2E74B5" w:themeFill="accent1" w:themeFillShade="BF"/>
          </w:tcPr>
          <w:p w:rsidR="00897935" w:rsidRDefault="00897935" w:rsidP="00287460">
            <w:pPr>
              <w:jc w:val="center"/>
            </w:pPr>
            <w:r>
              <w:t>-19%</w:t>
            </w:r>
          </w:p>
        </w:tc>
        <w:tc>
          <w:tcPr>
            <w:tcW w:w="1337" w:type="dxa"/>
            <w:shd w:val="clear" w:color="auto" w:fill="2E74B5" w:themeFill="accent1" w:themeFillShade="BF"/>
          </w:tcPr>
          <w:p w:rsidR="00897935" w:rsidRDefault="00897935" w:rsidP="00287460">
            <w:pPr>
              <w:jc w:val="center"/>
            </w:pPr>
            <w:r>
              <w:t>5%</w:t>
            </w:r>
          </w:p>
        </w:tc>
        <w:tc>
          <w:tcPr>
            <w:tcW w:w="1334" w:type="dxa"/>
            <w:shd w:val="clear" w:color="auto" w:fill="2E74B5" w:themeFill="accent1" w:themeFillShade="BF"/>
          </w:tcPr>
          <w:p w:rsidR="00897935" w:rsidRDefault="00897935" w:rsidP="00287460">
            <w:pPr>
              <w:jc w:val="center"/>
            </w:pPr>
            <w:r>
              <w:t>100</w:t>
            </w:r>
          </w:p>
        </w:tc>
        <w:tc>
          <w:tcPr>
            <w:tcW w:w="1417" w:type="dxa"/>
            <w:shd w:val="clear" w:color="auto" w:fill="2E74B5" w:themeFill="accent1" w:themeFillShade="BF"/>
          </w:tcPr>
          <w:p w:rsidR="00897935" w:rsidRDefault="00897935" w:rsidP="00287460">
            <w:pPr>
              <w:jc w:val="center"/>
            </w:pPr>
            <w:r>
              <w:t>103</w:t>
            </w:r>
          </w:p>
        </w:tc>
        <w:tc>
          <w:tcPr>
            <w:tcW w:w="1431" w:type="dxa"/>
            <w:shd w:val="clear" w:color="auto" w:fill="2E74B5" w:themeFill="accent1" w:themeFillShade="BF"/>
          </w:tcPr>
          <w:p w:rsidR="00897935" w:rsidRDefault="00897935" w:rsidP="00287460">
            <w:pPr>
              <w:jc w:val="center"/>
            </w:pPr>
            <w:r>
              <w:t>-3</w:t>
            </w:r>
          </w:p>
        </w:tc>
        <w:tc>
          <w:tcPr>
            <w:tcW w:w="1404" w:type="dxa"/>
            <w:shd w:val="clear" w:color="auto" w:fill="2E74B5" w:themeFill="accent1" w:themeFillShade="BF"/>
          </w:tcPr>
          <w:p w:rsidR="00897935" w:rsidRDefault="00897935" w:rsidP="00287460">
            <w:pPr>
              <w:jc w:val="center"/>
            </w:pPr>
            <w:r>
              <w:t>-4.9</w:t>
            </w:r>
          </w:p>
        </w:tc>
      </w:tr>
      <w:tr w:rsidR="00897935" w:rsidTr="00287460">
        <w:trPr>
          <w:jc w:val="center"/>
        </w:trPr>
        <w:tc>
          <w:tcPr>
            <w:tcW w:w="1723" w:type="dxa"/>
            <w:shd w:val="clear" w:color="auto" w:fill="FFD966" w:themeFill="accent4" w:themeFillTint="99"/>
          </w:tcPr>
          <w:p w:rsidR="00897935" w:rsidRDefault="00897935" w:rsidP="00287460">
            <w:pPr>
              <w:jc w:val="center"/>
            </w:pPr>
            <w:r>
              <w:t>Writing Teacher Assessment</w:t>
            </w:r>
          </w:p>
        </w:tc>
        <w:tc>
          <w:tcPr>
            <w:tcW w:w="1481" w:type="dxa"/>
            <w:shd w:val="clear" w:color="auto" w:fill="FFD966" w:themeFill="accent4" w:themeFillTint="99"/>
          </w:tcPr>
          <w:p w:rsidR="00897935" w:rsidRDefault="00897935" w:rsidP="00287460">
            <w:pPr>
              <w:jc w:val="center"/>
            </w:pPr>
            <w:r>
              <w:t>76%</w:t>
            </w:r>
          </w:p>
        </w:tc>
        <w:tc>
          <w:tcPr>
            <w:tcW w:w="1416" w:type="dxa"/>
            <w:shd w:val="clear" w:color="auto" w:fill="FFD966" w:themeFill="accent4" w:themeFillTint="99"/>
          </w:tcPr>
          <w:p w:rsidR="00897935" w:rsidRDefault="00897935" w:rsidP="00287460">
            <w:pPr>
              <w:jc w:val="center"/>
            </w:pPr>
            <w:r>
              <w:t>74%</w:t>
            </w:r>
          </w:p>
        </w:tc>
        <w:tc>
          <w:tcPr>
            <w:tcW w:w="1493" w:type="dxa"/>
            <w:shd w:val="clear" w:color="auto" w:fill="FFD966" w:themeFill="accent4" w:themeFillTint="99"/>
          </w:tcPr>
          <w:p w:rsidR="00897935" w:rsidRDefault="00897935" w:rsidP="00287460">
            <w:pPr>
              <w:jc w:val="center"/>
            </w:pPr>
            <w:r>
              <w:t>+2%</w:t>
            </w:r>
          </w:p>
        </w:tc>
        <w:tc>
          <w:tcPr>
            <w:tcW w:w="1337" w:type="dxa"/>
            <w:shd w:val="clear" w:color="auto" w:fill="FFD966" w:themeFill="accent4" w:themeFillTint="99"/>
          </w:tcPr>
          <w:p w:rsidR="00897935" w:rsidRDefault="00897935" w:rsidP="00287460">
            <w:pPr>
              <w:jc w:val="center"/>
            </w:pPr>
            <w:r>
              <w:t>12%</w:t>
            </w:r>
          </w:p>
        </w:tc>
        <w:tc>
          <w:tcPr>
            <w:tcW w:w="1334" w:type="dxa"/>
            <w:shd w:val="clear" w:color="auto" w:fill="FFD966" w:themeFill="accent4" w:themeFillTint="99"/>
          </w:tcPr>
          <w:p w:rsidR="00897935" w:rsidRDefault="00897935" w:rsidP="00287460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FFD966" w:themeFill="accent4" w:themeFillTint="99"/>
          </w:tcPr>
          <w:p w:rsidR="00897935" w:rsidRDefault="00897935" w:rsidP="00287460">
            <w:pPr>
              <w:jc w:val="center"/>
            </w:pPr>
            <w:r>
              <w:t>-</w:t>
            </w:r>
          </w:p>
        </w:tc>
        <w:tc>
          <w:tcPr>
            <w:tcW w:w="1431" w:type="dxa"/>
            <w:shd w:val="clear" w:color="auto" w:fill="FFD966" w:themeFill="accent4" w:themeFillTint="99"/>
          </w:tcPr>
          <w:p w:rsidR="00897935" w:rsidRDefault="00287460" w:rsidP="00287460">
            <w:pPr>
              <w:jc w:val="center"/>
            </w:pPr>
            <w:r>
              <w:t>-</w:t>
            </w:r>
          </w:p>
        </w:tc>
        <w:tc>
          <w:tcPr>
            <w:tcW w:w="1404" w:type="dxa"/>
            <w:shd w:val="clear" w:color="auto" w:fill="FFD966" w:themeFill="accent4" w:themeFillTint="99"/>
          </w:tcPr>
          <w:p w:rsidR="00897935" w:rsidRDefault="00897935" w:rsidP="00287460">
            <w:pPr>
              <w:jc w:val="center"/>
            </w:pPr>
            <w:r>
              <w:t>-2.3</w:t>
            </w:r>
          </w:p>
        </w:tc>
      </w:tr>
      <w:tr w:rsidR="00897935" w:rsidTr="00287460">
        <w:trPr>
          <w:jc w:val="center"/>
        </w:trPr>
        <w:tc>
          <w:tcPr>
            <w:tcW w:w="1723" w:type="dxa"/>
            <w:shd w:val="clear" w:color="auto" w:fill="A8D08D" w:themeFill="accent6" w:themeFillTint="99"/>
          </w:tcPr>
          <w:p w:rsidR="00897935" w:rsidRDefault="00287460" w:rsidP="00287460">
            <w:pPr>
              <w:jc w:val="center"/>
            </w:pPr>
            <w:r>
              <w:t>Combined Reading, Writing and M</w:t>
            </w:r>
            <w:r w:rsidR="00897935">
              <w:t>athematics</w:t>
            </w:r>
          </w:p>
        </w:tc>
        <w:tc>
          <w:tcPr>
            <w:tcW w:w="1481" w:type="dxa"/>
            <w:shd w:val="clear" w:color="auto" w:fill="A8D08D" w:themeFill="accent6" w:themeFillTint="99"/>
          </w:tcPr>
          <w:p w:rsidR="00897935" w:rsidRDefault="00897935" w:rsidP="00287460">
            <w:pPr>
              <w:jc w:val="center"/>
            </w:pPr>
            <w:r>
              <w:t>41%</w:t>
            </w:r>
          </w:p>
        </w:tc>
        <w:tc>
          <w:tcPr>
            <w:tcW w:w="1416" w:type="dxa"/>
            <w:shd w:val="clear" w:color="auto" w:fill="A8D08D" w:themeFill="accent6" w:themeFillTint="99"/>
          </w:tcPr>
          <w:p w:rsidR="00897935" w:rsidRDefault="00897935" w:rsidP="00287460">
            <w:pPr>
              <w:jc w:val="center"/>
            </w:pPr>
            <w:r>
              <w:t>53%</w:t>
            </w:r>
          </w:p>
        </w:tc>
        <w:tc>
          <w:tcPr>
            <w:tcW w:w="1493" w:type="dxa"/>
            <w:shd w:val="clear" w:color="auto" w:fill="A8D08D" w:themeFill="accent6" w:themeFillTint="99"/>
          </w:tcPr>
          <w:p w:rsidR="00897935" w:rsidRDefault="00897935" w:rsidP="00287460">
            <w:pPr>
              <w:jc w:val="center"/>
            </w:pPr>
            <w:r>
              <w:t>-12%</w:t>
            </w:r>
          </w:p>
        </w:tc>
        <w:tc>
          <w:tcPr>
            <w:tcW w:w="1337" w:type="dxa"/>
            <w:shd w:val="clear" w:color="auto" w:fill="A8D08D" w:themeFill="accent6" w:themeFillTint="99"/>
          </w:tcPr>
          <w:p w:rsidR="00897935" w:rsidRDefault="00897935" w:rsidP="00287460">
            <w:pPr>
              <w:jc w:val="center"/>
            </w:pPr>
          </w:p>
        </w:tc>
        <w:tc>
          <w:tcPr>
            <w:tcW w:w="1334" w:type="dxa"/>
            <w:shd w:val="clear" w:color="auto" w:fill="A8D08D" w:themeFill="accent6" w:themeFillTint="99"/>
          </w:tcPr>
          <w:p w:rsidR="00897935" w:rsidRDefault="00897935" w:rsidP="00287460">
            <w:pPr>
              <w:jc w:val="center"/>
            </w:pPr>
            <w:r>
              <w:t>-</w:t>
            </w:r>
          </w:p>
        </w:tc>
        <w:tc>
          <w:tcPr>
            <w:tcW w:w="1417" w:type="dxa"/>
            <w:shd w:val="clear" w:color="auto" w:fill="A8D08D" w:themeFill="accent6" w:themeFillTint="99"/>
          </w:tcPr>
          <w:p w:rsidR="00897935" w:rsidRDefault="00897935" w:rsidP="00287460">
            <w:pPr>
              <w:jc w:val="center"/>
            </w:pPr>
            <w:r>
              <w:t>-</w:t>
            </w:r>
          </w:p>
        </w:tc>
        <w:tc>
          <w:tcPr>
            <w:tcW w:w="1431" w:type="dxa"/>
            <w:shd w:val="clear" w:color="auto" w:fill="A8D08D" w:themeFill="accent6" w:themeFillTint="99"/>
          </w:tcPr>
          <w:p w:rsidR="00897935" w:rsidRDefault="00287460" w:rsidP="00287460">
            <w:pPr>
              <w:jc w:val="center"/>
            </w:pPr>
            <w:r>
              <w:t>-</w:t>
            </w:r>
          </w:p>
        </w:tc>
        <w:tc>
          <w:tcPr>
            <w:tcW w:w="1404" w:type="dxa"/>
            <w:shd w:val="clear" w:color="auto" w:fill="A8D08D" w:themeFill="accent6" w:themeFillTint="99"/>
          </w:tcPr>
          <w:p w:rsidR="00897935" w:rsidRDefault="00287460" w:rsidP="00287460">
            <w:pPr>
              <w:jc w:val="center"/>
            </w:pPr>
            <w:r>
              <w:t>-</w:t>
            </w:r>
          </w:p>
        </w:tc>
      </w:tr>
    </w:tbl>
    <w:p w:rsidR="00836C96" w:rsidRDefault="00836C96"/>
    <w:sectPr w:rsidR="00836C96" w:rsidSect="00287460">
      <w:pgSz w:w="16838" w:h="11906" w:orient="landscape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C96"/>
    <w:rsid w:val="00147A81"/>
    <w:rsid w:val="00287460"/>
    <w:rsid w:val="00543685"/>
    <w:rsid w:val="0059174F"/>
    <w:rsid w:val="0072548B"/>
    <w:rsid w:val="00836C96"/>
    <w:rsid w:val="00897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3F4393C-EC85-44BD-A183-15609C755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36C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14">
    <w:name w:val="b14"/>
    <w:basedOn w:val="DefaultParagraphFont"/>
    <w:rsid w:val="00836C96"/>
  </w:style>
  <w:style w:type="character" w:customStyle="1" w:styleId="apple-converted-space">
    <w:name w:val="apple-converted-space"/>
    <w:basedOn w:val="DefaultParagraphFont"/>
    <w:rsid w:val="00836C96"/>
  </w:style>
  <w:style w:type="character" w:styleId="Hyperlink">
    <w:name w:val="Hyperlink"/>
    <w:basedOn w:val="DefaultParagraphFont"/>
    <w:uiPriority w:val="99"/>
    <w:semiHidden/>
    <w:unhideWhenUsed/>
    <w:rsid w:val="00836C96"/>
    <w:rPr>
      <w:color w:val="0000FF"/>
      <w:u w:val="single"/>
    </w:rPr>
  </w:style>
  <w:style w:type="character" w:customStyle="1" w:styleId="w14">
    <w:name w:val="w14"/>
    <w:basedOn w:val="DefaultParagraphFont"/>
    <w:rsid w:val="0083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Montpelier Primary School</Company>
  <LinksUpToDate>false</LinksUpToDate>
  <CharactersWithSpaces>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Spragg</dc:creator>
  <cp:keywords/>
  <dc:description/>
  <cp:lastModifiedBy>Tracy Spragg</cp:lastModifiedBy>
  <cp:revision>1</cp:revision>
  <dcterms:created xsi:type="dcterms:W3CDTF">2016-09-26T13:06:00Z</dcterms:created>
  <dcterms:modified xsi:type="dcterms:W3CDTF">2016-09-26T13:53:00Z</dcterms:modified>
</cp:coreProperties>
</file>